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3E26B6">
        <w:t>6</w:t>
      </w:r>
      <w:r w:rsidR="003D3FB6">
        <w:t>00</w:t>
      </w:r>
      <w:r w:rsidR="000C741E">
        <w:t>0</w:t>
      </w:r>
      <w:r w:rsidR="000D14FD">
        <w:t>9</w:t>
      </w:r>
    </w:p>
    <w:p w:rsidR="00087A88" w:rsidRDefault="00087A88" w:rsidP="00AE1709">
      <w:pPr>
        <w:jc w:val="center"/>
      </w:pPr>
      <w:r>
        <w:t xml:space="preserve">Michael </w:t>
      </w:r>
      <w:r w:rsidR="00C13A43">
        <w:t xml:space="preserve">L. </w:t>
      </w:r>
      <w:r>
        <w:t>Cherry</w:t>
      </w:r>
    </w:p>
    <w:p w:rsidR="00AE1709" w:rsidRDefault="00AE1709" w:rsidP="00AE1709">
      <w:pPr>
        <w:jc w:val="center"/>
      </w:pPr>
      <w:r>
        <w:t>Michael S. Matulik</w:t>
      </w:r>
    </w:p>
    <w:p w:rsidR="00E84EEA" w:rsidRPr="00E84EEA" w:rsidRDefault="00E826A1" w:rsidP="00FF7734">
      <w:pPr>
        <w:jc w:val="center"/>
        <w:rPr>
          <w:sz w:val="18"/>
          <w:szCs w:val="18"/>
        </w:rPr>
      </w:pPr>
      <w:r>
        <w:t>1-Jun</w:t>
      </w:r>
      <w:r w:rsidR="00214DBA">
        <w:t>-16</w:t>
      </w:r>
    </w:p>
    <w:p w:rsidR="00B919DA" w:rsidRDefault="00B919DA" w:rsidP="005465AD"/>
    <w:p w:rsidR="00087A88" w:rsidRDefault="00EC1F74" w:rsidP="00087A88">
      <w:pPr>
        <w:jc w:val="center"/>
        <w:rPr>
          <w:b/>
          <w:sz w:val="32"/>
          <w:szCs w:val="32"/>
        </w:rPr>
      </w:pPr>
      <w:r>
        <w:rPr>
          <w:b/>
          <w:sz w:val="32"/>
          <w:szCs w:val="32"/>
        </w:rPr>
        <w:t>Linear Coherent Light Source – II</w:t>
      </w:r>
    </w:p>
    <w:p w:rsidR="00EC1F74" w:rsidRDefault="00EC1F74" w:rsidP="00087A88">
      <w:pPr>
        <w:jc w:val="center"/>
        <w:rPr>
          <w:b/>
          <w:sz w:val="32"/>
          <w:szCs w:val="32"/>
        </w:rPr>
      </w:pPr>
      <w:r>
        <w:rPr>
          <w:b/>
          <w:sz w:val="32"/>
          <w:szCs w:val="32"/>
        </w:rPr>
        <w:t>Vessel Demagnetization</w:t>
      </w:r>
    </w:p>
    <w:p w:rsidR="00EC1F74" w:rsidRDefault="000C741E" w:rsidP="00087A88">
      <w:pPr>
        <w:jc w:val="center"/>
        <w:rPr>
          <w:b/>
          <w:sz w:val="32"/>
          <w:szCs w:val="32"/>
        </w:rPr>
      </w:pPr>
      <w:r>
        <w:rPr>
          <w:b/>
          <w:sz w:val="32"/>
          <w:szCs w:val="32"/>
        </w:rPr>
        <w:t>Programmable Current Source /</w:t>
      </w:r>
    </w:p>
    <w:p w:rsidR="000C741E" w:rsidRDefault="000C741E" w:rsidP="00087A88">
      <w:pPr>
        <w:jc w:val="center"/>
        <w:rPr>
          <w:b/>
          <w:sz w:val="32"/>
          <w:szCs w:val="32"/>
        </w:rPr>
      </w:pPr>
      <w:r>
        <w:rPr>
          <w:b/>
          <w:sz w:val="32"/>
          <w:szCs w:val="32"/>
        </w:rPr>
        <w:t>Current Distribution</w:t>
      </w:r>
      <w:r w:rsidR="00214DBA">
        <w:rPr>
          <w:b/>
          <w:sz w:val="32"/>
          <w:szCs w:val="32"/>
        </w:rPr>
        <w:t xml:space="preserve"> System</w:t>
      </w:r>
    </w:p>
    <w:p w:rsidR="005766DB" w:rsidRDefault="000D14FD" w:rsidP="00087A88">
      <w:pPr>
        <w:jc w:val="center"/>
        <w:rPr>
          <w:b/>
          <w:sz w:val="32"/>
          <w:szCs w:val="32"/>
        </w:rPr>
      </w:pPr>
      <w:r>
        <w:rPr>
          <w:b/>
          <w:sz w:val="32"/>
          <w:szCs w:val="32"/>
        </w:rPr>
        <w:t>Magna-Power Initialization Sequence</w:t>
      </w:r>
    </w:p>
    <w:p w:rsidR="00E826A1" w:rsidRDefault="00E826A1" w:rsidP="00E826A1">
      <w:pPr>
        <w:rPr>
          <w:sz w:val="32"/>
          <w:szCs w:val="32"/>
        </w:rPr>
      </w:pPr>
    </w:p>
    <w:p w:rsidR="00E826A1" w:rsidRDefault="00E826A1" w:rsidP="00E826A1">
      <w:r w:rsidRPr="00E826A1">
        <w:rPr>
          <w:b/>
        </w:rPr>
        <w:t>Overview</w:t>
      </w:r>
      <w:r>
        <w:t>:</w:t>
      </w:r>
    </w:p>
    <w:p w:rsidR="00E826A1" w:rsidRDefault="00E826A1" w:rsidP="00E826A1"/>
    <w:p w:rsidR="00E826A1" w:rsidRDefault="00E826A1" w:rsidP="00E826A1">
      <w:pPr>
        <w:ind w:left="720"/>
      </w:pPr>
      <w:r>
        <w:t>The source of current for demagnetizing LCLS-</w:t>
      </w:r>
      <w:r w:rsidR="00D749A5">
        <w:t>I</w:t>
      </w:r>
      <w:r>
        <w:t xml:space="preserve">I vacuum vessels is a commercial power supply manufactured by Magna-Power.  The XR80-75/208 power supply can be configured to operate in several modes.  </w:t>
      </w:r>
      <w:r w:rsidR="00113814">
        <w:t>After providing instructions for connecting the power supply to AC power, t</w:t>
      </w:r>
      <w:r>
        <w:t>his document provides instructions for setting up the supply to operate properly as a current source in this effort.</w:t>
      </w:r>
    </w:p>
    <w:p w:rsidR="00E826A1" w:rsidRDefault="00E826A1" w:rsidP="00E826A1"/>
    <w:p w:rsidR="00113814" w:rsidRDefault="00113814" w:rsidP="00E826A1">
      <w:r w:rsidRPr="00113814">
        <w:rPr>
          <w:b/>
        </w:rPr>
        <w:t>Connecting to AC Power</w:t>
      </w:r>
      <w:r>
        <w:t>:</w:t>
      </w:r>
    </w:p>
    <w:p w:rsidR="00113814" w:rsidRDefault="00113814" w:rsidP="00E826A1"/>
    <w:p w:rsidR="00113814" w:rsidRDefault="00E47E7C" w:rsidP="00E47E7C">
      <w:pPr>
        <w:ind w:left="720"/>
      </w:pPr>
      <w:r>
        <w:t>Refer to Fermilab TD/SRFD document ED0005095 for information detailing the connection of the Magna-Power supply to AC power.</w:t>
      </w:r>
      <w:bookmarkStart w:id="0" w:name="_GoBack"/>
      <w:bookmarkEnd w:id="0"/>
    </w:p>
    <w:p w:rsidR="00E47E7C" w:rsidRDefault="00E47E7C" w:rsidP="00E826A1"/>
    <w:p w:rsidR="00E826A1" w:rsidRDefault="00E826A1" w:rsidP="00E826A1">
      <w:r w:rsidRPr="00E826A1">
        <w:rPr>
          <w:b/>
        </w:rPr>
        <w:t>Desired Configuration</w:t>
      </w:r>
      <w:r>
        <w:t>:</w:t>
      </w:r>
    </w:p>
    <w:p w:rsidR="00E826A1" w:rsidRDefault="00E826A1" w:rsidP="00E826A1"/>
    <w:p w:rsidR="00E826A1" w:rsidRDefault="00E826A1" w:rsidP="00E826A1">
      <w:pPr>
        <w:ind w:left="720"/>
      </w:pPr>
      <w:r>
        <w:t>Prior to operating the LabVIEW</w:t>
      </w:r>
      <w:r w:rsidR="00EE1377">
        <w:t xml:space="preserve"> program that provides the external current reference voltage to the power supply the Magna-Power needs to be configured to be in both Internal Control and External Programming modes.  The front panel display should look like the supply pictured in Figure </w:t>
      </w:r>
      <w:r w:rsidR="00E47E7C">
        <w:t>1</w:t>
      </w:r>
      <w:r w:rsidR="00EE1377">
        <w:t>.</w:t>
      </w:r>
    </w:p>
    <w:p w:rsidR="00EE1377" w:rsidRDefault="00EE1377" w:rsidP="00E826A1">
      <w:pPr>
        <w:ind w:left="720"/>
      </w:pPr>
    </w:p>
    <w:p w:rsidR="00EE1377" w:rsidRDefault="00EE1377" w:rsidP="00EE1377">
      <w:pPr>
        <w:keepNext/>
        <w:jc w:val="center"/>
      </w:pPr>
      <w:r>
        <w:rPr>
          <w:noProof/>
        </w:rPr>
        <w:lastRenderedPageBreak/>
        <w:drawing>
          <wp:inline distT="0" distB="0" distL="0" distR="0" wp14:anchorId="326896C9" wp14:editId="716D6998">
            <wp:extent cx="5486400" cy="2569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aPower.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569210"/>
                    </a:xfrm>
                    <a:prstGeom prst="rect">
                      <a:avLst/>
                    </a:prstGeom>
                  </pic:spPr>
                </pic:pic>
              </a:graphicData>
            </a:graphic>
          </wp:inline>
        </w:drawing>
      </w:r>
    </w:p>
    <w:p w:rsidR="00EE1377" w:rsidRDefault="00EE1377" w:rsidP="00EE1377">
      <w:pPr>
        <w:pStyle w:val="Caption"/>
        <w:jc w:val="center"/>
      </w:pPr>
      <w:r>
        <w:t xml:space="preserve">Figure </w:t>
      </w:r>
      <w:r w:rsidR="00E47E7C">
        <w:t>1</w:t>
      </w:r>
      <w:r>
        <w:t>. Magna-Power indicating Internal Control, External Programming modes.</w:t>
      </w:r>
    </w:p>
    <w:p w:rsidR="00EE1377" w:rsidRDefault="00EE1377" w:rsidP="00EE1377"/>
    <w:p w:rsidR="00EE1377" w:rsidRDefault="00EE1377" w:rsidP="00EE1377">
      <w:r w:rsidRPr="00EE1377">
        <w:rPr>
          <w:b/>
        </w:rPr>
        <w:t>Changing Magna-Power Configuration</w:t>
      </w:r>
      <w:r>
        <w:t>:</w:t>
      </w:r>
    </w:p>
    <w:p w:rsidR="001B2DAA" w:rsidRDefault="001B2DAA" w:rsidP="00EE1377">
      <w:pPr>
        <w:ind w:left="720"/>
      </w:pPr>
    </w:p>
    <w:p w:rsidR="00EE1377" w:rsidRDefault="001B2DAA" w:rsidP="00EE1377">
      <w:pPr>
        <w:ind w:left="720"/>
      </w:pPr>
      <w:r>
        <w:t xml:space="preserve">If the front panel display does not match the picture in Figure </w:t>
      </w:r>
      <w:r w:rsidR="00A37F66">
        <w:t>2</w:t>
      </w:r>
      <w:r w:rsidR="00AE1EDA">
        <w:t xml:space="preserve"> the Magna-Power needs to be reconfigured</w:t>
      </w:r>
      <w:r>
        <w:t>.</w:t>
      </w:r>
      <w:r w:rsidR="005A2A33">
        <w:t xml:space="preserve">  There is an array of </w:t>
      </w:r>
      <w:r w:rsidR="005B522C">
        <w:t>function keys</w:t>
      </w:r>
      <w:r w:rsidR="005A2A33">
        <w:t xml:space="preserve"> on the front panel, above the green “START” and red “STOP” buttons.  Changing the configuration involves pressing a sub-set of these buttons in a specific sequence.</w:t>
      </w:r>
      <w:r w:rsidR="00300742">
        <w:t xml:space="preserve">  Note the CTL LED above the CURRENT potentiometer may or may not be illuminated.</w:t>
      </w:r>
    </w:p>
    <w:p w:rsidR="005A2A33" w:rsidRDefault="005A2A33" w:rsidP="00EE1377">
      <w:pPr>
        <w:ind w:left="720"/>
      </w:pPr>
    </w:p>
    <w:p w:rsidR="005A2A33" w:rsidRDefault="005A2A33" w:rsidP="00EE1377">
      <w:pPr>
        <w:ind w:left="720"/>
      </w:pPr>
      <w:r>
        <w:t xml:space="preserve">For LCLS-II efforts the power supply has 6 possible </w:t>
      </w:r>
      <w:r w:rsidR="00CB21D4">
        <w:t xml:space="preserve">operating </w:t>
      </w:r>
      <w:r>
        <w:t xml:space="preserve">modes which correspond to the </w:t>
      </w:r>
      <w:r w:rsidR="00EB1720">
        <w:t>indications</w:t>
      </w:r>
      <w:r>
        <w:t xml:space="preserve"> in the “CONFIGURATION” field on </w:t>
      </w:r>
      <w:r w:rsidR="00EB1720">
        <w:t xml:space="preserve">front panel of </w:t>
      </w:r>
      <w:r>
        <w:t>the supply</w:t>
      </w:r>
      <w:r w:rsidR="00CC49B9">
        <w:t>.</w:t>
      </w:r>
    </w:p>
    <w:p w:rsidR="005A2A33" w:rsidRDefault="005A2A33" w:rsidP="00EE1377">
      <w:pPr>
        <w:ind w:left="720"/>
      </w:pPr>
    </w:p>
    <w:p w:rsidR="005A2A33" w:rsidRDefault="005A2A33" w:rsidP="005A2A33">
      <w:pPr>
        <w:pStyle w:val="ListParagraph"/>
        <w:numPr>
          <w:ilvl w:val="0"/>
          <w:numId w:val="35"/>
        </w:numPr>
      </w:pPr>
      <w:r>
        <w:t>REM SEN</w:t>
      </w:r>
      <w:r w:rsidR="00CC49B9">
        <w:t>:</w:t>
      </w:r>
      <w:r>
        <w:t xml:space="preserve">  </w:t>
      </w:r>
      <w:r w:rsidR="00CC49B9">
        <w:t>When illuminated indicates that the supply expects that voltage sense leads are connected to the load to compensate for voltage drop over the cables connecting the supply to the load.  For vessel demagnetization we operate the supply as a current source.  The voltage drop across the cables to the vessel are of no consequence.</w:t>
      </w:r>
    </w:p>
    <w:p w:rsidR="00CC49B9" w:rsidRDefault="00CC49B9" w:rsidP="005A2A33">
      <w:pPr>
        <w:pStyle w:val="ListParagraph"/>
        <w:numPr>
          <w:ilvl w:val="0"/>
          <w:numId w:val="35"/>
        </w:numPr>
      </w:pPr>
      <w:r>
        <w:t>INT CTL:  When illuminated indicates that the supply can be started and stopped by pressing the START and STOP buttons.</w:t>
      </w:r>
    </w:p>
    <w:p w:rsidR="00CC49B9" w:rsidRDefault="00CC49B9" w:rsidP="005A2A33">
      <w:pPr>
        <w:pStyle w:val="ListParagraph"/>
        <w:numPr>
          <w:ilvl w:val="0"/>
          <w:numId w:val="35"/>
        </w:numPr>
      </w:pPr>
      <w:r>
        <w:t>EXT CTL:  When illuminated indicates that the supply can be started and stopped by external means.  The front panel START and STOP buttons are disabled.</w:t>
      </w:r>
    </w:p>
    <w:p w:rsidR="00206624" w:rsidRDefault="00CC49B9" w:rsidP="00206624">
      <w:pPr>
        <w:pStyle w:val="ListParagraph"/>
        <w:numPr>
          <w:ilvl w:val="0"/>
          <w:numId w:val="35"/>
        </w:numPr>
      </w:pPr>
      <w:r>
        <w:t>ROTARY:  When illuminated indicates that the voltage and current set points are established by operating the two front-panel rotary</w:t>
      </w:r>
      <w:r w:rsidR="004630C2">
        <w:t xml:space="preserve"> potentiometers.</w:t>
      </w:r>
    </w:p>
    <w:p w:rsidR="004630C2" w:rsidRDefault="004630C2" w:rsidP="005A2A33">
      <w:pPr>
        <w:pStyle w:val="ListParagraph"/>
        <w:numPr>
          <w:ilvl w:val="0"/>
          <w:numId w:val="35"/>
        </w:numPr>
      </w:pPr>
      <w:r>
        <w:t>EXT PGM:  When illuminated indicates that the voltage and current set points are established by voltages on a 37-pin rear-panel dSub connector</w:t>
      </w:r>
      <w:r w:rsidR="003C49D7">
        <w:t>.</w:t>
      </w:r>
    </w:p>
    <w:p w:rsidR="00206624" w:rsidRDefault="00206624" w:rsidP="00206624">
      <w:pPr>
        <w:pStyle w:val="ListParagraph"/>
        <w:numPr>
          <w:ilvl w:val="1"/>
          <w:numId w:val="35"/>
        </w:numPr>
      </w:pPr>
      <w:r>
        <w:t>Note that the two previous modes of operation appear to be mutually exclusive – enabling one mode disables the other.</w:t>
      </w:r>
    </w:p>
    <w:p w:rsidR="003C49D7" w:rsidRDefault="003C49D7" w:rsidP="005A2A33">
      <w:pPr>
        <w:pStyle w:val="ListParagraph"/>
        <w:numPr>
          <w:ilvl w:val="0"/>
          <w:numId w:val="35"/>
        </w:numPr>
      </w:pPr>
      <w:r>
        <w:lastRenderedPageBreak/>
        <w:t>REMOTE:  When illuminated indicates that the power supply will be controlled by a computer (via RS232 or other optional communication protocols).</w:t>
      </w:r>
    </w:p>
    <w:p w:rsidR="003C49D7" w:rsidRDefault="003C49D7" w:rsidP="003C49D7"/>
    <w:p w:rsidR="00EE1377" w:rsidRDefault="00206624" w:rsidP="00E826A1">
      <w:pPr>
        <w:ind w:left="720"/>
      </w:pPr>
      <w:r>
        <w:t>The procedure for changing which indicator is illuminate</w:t>
      </w:r>
      <w:r w:rsidR="00CB21D4">
        <w:t>s</w:t>
      </w:r>
      <w:r>
        <w:t xml:space="preserve"> follows a logical path.</w:t>
      </w:r>
      <w:r w:rsidR="00CB21D4">
        <w:t xml:space="preserve">  The Magna-Power front </w:t>
      </w:r>
      <w:r w:rsidR="005B522C">
        <w:t>function keys</w:t>
      </w:r>
      <w:r w:rsidR="00CB21D4">
        <w:t xml:space="preserve"> involved in changing the operating mode are shown in Figure </w:t>
      </w:r>
      <w:r w:rsidR="00E47E7C">
        <w:t>2</w:t>
      </w:r>
      <w:r w:rsidR="00CB21D4">
        <w:t>.</w:t>
      </w:r>
      <w:r w:rsidR="005B522C">
        <w:t xml:space="preserve">  </w:t>
      </w:r>
    </w:p>
    <w:p w:rsidR="00CB21D4" w:rsidRDefault="00CB21D4" w:rsidP="00E826A1">
      <w:pPr>
        <w:ind w:left="720"/>
      </w:pPr>
    </w:p>
    <w:p w:rsidR="005B522C" w:rsidRDefault="00CB21D4" w:rsidP="005B522C">
      <w:pPr>
        <w:keepNext/>
        <w:jc w:val="center"/>
      </w:pPr>
      <w:r>
        <w:rPr>
          <w:noProof/>
        </w:rPr>
        <w:drawing>
          <wp:inline distT="0" distB="0" distL="0" distR="0" wp14:anchorId="5FF2D3CD" wp14:editId="01B44FDF">
            <wp:extent cx="5486400" cy="308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606_Magna_power_F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088005"/>
                    </a:xfrm>
                    <a:prstGeom prst="rect">
                      <a:avLst/>
                    </a:prstGeom>
                  </pic:spPr>
                </pic:pic>
              </a:graphicData>
            </a:graphic>
          </wp:inline>
        </w:drawing>
      </w:r>
    </w:p>
    <w:p w:rsidR="00CB21D4" w:rsidRDefault="005B522C" w:rsidP="005B522C">
      <w:pPr>
        <w:pStyle w:val="Caption"/>
        <w:jc w:val="center"/>
      </w:pPr>
      <w:r>
        <w:t xml:space="preserve">Figure </w:t>
      </w:r>
      <w:r w:rsidR="00E47E7C">
        <w:t>2</w:t>
      </w:r>
      <w:r>
        <w:t>. Magna-Power function keys.</w:t>
      </w:r>
    </w:p>
    <w:p w:rsidR="005B522C" w:rsidRDefault="005B522C" w:rsidP="005B522C"/>
    <w:p w:rsidR="005B522C" w:rsidRDefault="005B522C" w:rsidP="005B522C">
      <w:pPr>
        <w:pStyle w:val="ListParagraph"/>
        <w:numPr>
          <w:ilvl w:val="0"/>
          <w:numId w:val="36"/>
        </w:numPr>
      </w:pPr>
      <w:r>
        <w:t>Operate the PWR rocker switch to apply power the supply.  The changing front panel display indicates the supply is performing diagnostic tests.</w:t>
      </w:r>
      <w:r w:rsidR="007A1628">
        <w:t xml:space="preserve">  The STANDBY indication will be illuminated.</w:t>
      </w:r>
    </w:p>
    <w:p w:rsidR="005B522C" w:rsidRDefault="005B522C" w:rsidP="005B522C">
      <w:pPr>
        <w:pStyle w:val="ListParagraph"/>
        <w:numPr>
          <w:ilvl w:val="0"/>
          <w:numId w:val="36"/>
        </w:numPr>
      </w:pPr>
      <w:r>
        <w:t xml:space="preserve">The first step in changing the operating mode of the supply is to press the MENU button.  The supply responds by displaying some mode of operation.  Note that this display will involve a flashing indication in the </w:t>
      </w:r>
      <w:r w:rsidR="007A1628">
        <w:t xml:space="preserve">OVT (over voltage trip), OCT (over current trip) of </w:t>
      </w:r>
      <w:r>
        <w:t xml:space="preserve">DC </w:t>
      </w:r>
      <w:r w:rsidR="00176E73">
        <w:t xml:space="preserve">VOLTAGE </w:t>
      </w:r>
      <w:r>
        <w:t>sections of the front panel.</w:t>
      </w:r>
      <w:r w:rsidR="00176E73">
        <w:t xml:space="preserve">  </w:t>
      </w:r>
    </w:p>
    <w:p w:rsidR="0056350C" w:rsidRDefault="0056350C" w:rsidP="005B522C">
      <w:pPr>
        <w:pStyle w:val="ListParagraph"/>
        <w:numPr>
          <w:ilvl w:val="0"/>
          <w:numId w:val="36"/>
        </w:numPr>
      </w:pPr>
      <w:r>
        <w:t>Pressing the ITEM button repeatedly will scroll through</w:t>
      </w:r>
      <w:r w:rsidR="008F565A">
        <w:t xml:space="preserve"> the operating modes</w:t>
      </w:r>
      <w:r>
        <w:t xml:space="preserve"> (flashing indication)</w:t>
      </w:r>
      <w:r w:rsidR="008F565A">
        <w:t xml:space="preserve"> that are available to be selected.</w:t>
      </w:r>
      <w:r w:rsidR="00176E73">
        <w:t xml:space="preserve">  For use in LCLS-II demagnetization, keep pressing the ITEM key until the DC VOLTAGE display reads “conF”.</w:t>
      </w:r>
    </w:p>
    <w:p w:rsidR="008F565A" w:rsidRDefault="008F565A" w:rsidP="005B522C">
      <w:pPr>
        <w:pStyle w:val="ListParagraph"/>
        <w:numPr>
          <w:ilvl w:val="0"/>
          <w:numId w:val="36"/>
        </w:numPr>
      </w:pPr>
      <w:r>
        <w:t xml:space="preserve">Pressing the ENTER button while the desired </w:t>
      </w:r>
      <w:r w:rsidR="00176E73">
        <w:t xml:space="preserve">configuration </w:t>
      </w:r>
      <w:r>
        <w:t>operating mode indication is flashing</w:t>
      </w:r>
      <w:r w:rsidR="00176E73">
        <w:t xml:space="preserve"> (“conF”) provides access to a sub-set of operating modes, indicated by a flashing indication in the CONFIGURATION</w:t>
      </w:r>
      <w:r w:rsidR="00EB1720">
        <w:t xml:space="preserve"> field on the front panel.</w:t>
      </w:r>
    </w:p>
    <w:p w:rsidR="00EB1720" w:rsidRDefault="00EB1720" w:rsidP="00EB1720">
      <w:pPr>
        <w:pStyle w:val="ListParagraph"/>
        <w:numPr>
          <w:ilvl w:val="1"/>
          <w:numId w:val="36"/>
        </w:numPr>
      </w:pPr>
      <w:r>
        <w:t>Repeatedly pressing the ITEM button will scroll through the sub-set of operating modes (flashing indication) that are available to be selected.</w:t>
      </w:r>
    </w:p>
    <w:p w:rsidR="00EB1720" w:rsidRDefault="00EB1720" w:rsidP="00EB1720">
      <w:pPr>
        <w:pStyle w:val="ListParagraph"/>
        <w:numPr>
          <w:ilvl w:val="1"/>
          <w:numId w:val="36"/>
        </w:numPr>
      </w:pPr>
      <w:r>
        <w:lastRenderedPageBreak/>
        <w:t>Pressing the ENTER button while the desired operating mode is flashing will enable that mode.</w:t>
      </w:r>
    </w:p>
    <w:p w:rsidR="00EB1720" w:rsidRDefault="00EB1720" w:rsidP="00EB1720">
      <w:pPr>
        <w:pStyle w:val="ListParagraph"/>
        <w:numPr>
          <w:ilvl w:val="1"/>
          <w:numId w:val="36"/>
        </w:numPr>
      </w:pPr>
      <w:r>
        <w:t>Pressing the CLEAR button while the desired operating mode is flashing will disable that mode.</w:t>
      </w:r>
    </w:p>
    <w:p w:rsidR="007A1628" w:rsidRPr="005B522C" w:rsidRDefault="007A1628" w:rsidP="00EB1720">
      <w:pPr>
        <w:pStyle w:val="ListParagraph"/>
        <w:numPr>
          <w:ilvl w:val="1"/>
          <w:numId w:val="36"/>
        </w:numPr>
      </w:pPr>
      <w:r>
        <w:t xml:space="preserve">Pressing ENTER or CLEAR will affect the supply appropriately and </w:t>
      </w:r>
      <w:r w:rsidR="007B70C7">
        <w:t>the supply will return to STANDBY.  Further changes are made following the same procedure.</w:t>
      </w:r>
    </w:p>
    <w:sectPr w:rsidR="007A1628" w:rsidRPr="005B522C" w:rsidSect="00DB5C7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B5" w:rsidRDefault="00275DB5">
      <w:r>
        <w:separator/>
      </w:r>
    </w:p>
  </w:endnote>
  <w:endnote w:type="continuationSeparator" w:id="0">
    <w:p w:rsidR="00275DB5" w:rsidRDefault="002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2F" w:rsidRDefault="00C03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C13A43">
    <w:pPr>
      <w:pStyle w:val="Footer"/>
    </w:pPr>
    <w:r>
      <w:t xml:space="preserve">M.L. Cherry, </w:t>
    </w:r>
    <w:r w:rsidR="00275DB5">
      <w:t>M.S. Matulik</w:t>
    </w:r>
    <w:r w:rsidR="00275DB5">
      <w:tab/>
      <w:t xml:space="preserve">- </w:t>
    </w:r>
    <w:r w:rsidR="00275DB5">
      <w:fldChar w:fldCharType="begin"/>
    </w:r>
    <w:r w:rsidR="00275DB5">
      <w:instrText xml:space="preserve"> PAGE </w:instrText>
    </w:r>
    <w:r w:rsidR="00275DB5">
      <w:fldChar w:fldCharType="separate"/>
    </w:r>
    <w:r w:rsidR="00E47E7C">
      <w:rPr>
        <w:noProof/>
      </w:rPr>
      <w:t>4</w:t>
    </w:r>
    <w:r w:rsidR="00275DB5">
      <w:rPr>
        <w:noProof/>
      </w:rPr>
      <w:fldChar w:fldCharType="end"/>
    </w:r>
    <w:r w:rsidR="00275DB5">
      <w:t xml:space="preserve"> -</w:t>
    </w:r>
    <w:r w:rsidR="00275DB5">
      <w:tab/>
    </w:r>
    <w:r w:rsidR="00903085">
      <w:t>IG</w:t>
    </w:r>
    <w:r w:rsidR="00275DB5" w:rsidRPr="00903AF2">
      <w:t>_ 20</w:t>
    </w:r>
    <w:r w:rsidR="00275DB5">
      <w:t>1</w:t>
    </w:r>
    <w:r w:rsidR="007D173B">
      <w:t>60</w:t>
    </w:r>
    <w:r w:rsidR="00275DB5">
      <w:t>00</w:t>
    </w:r>
    <w:r w:rsidR="000D14FD">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2F" w:rsidRDefault="00C03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B5" w:rsidRDefault="00275DB5">
      <w:r>
        <w:separator/>
      </w:r>
    </w:p>
  </w:footnote>
  <w:footnote w:type="continuationSeparator" w:id="0">
    <w:p w:rsidR="00275DB5" w:rsidRDefault="0027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2F" w:rsidRDefault="00C03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2F" w:rsidRDefault="00C03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2F" w:rsidRDefault="00C03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D2D15"/>
    <w:multiLevelType w:val="hybridMultilevel"/>
    <w:tmpl w:val="8E2C95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059AE"/>
    <w:multiLevelType w:val="hybridMultilevel"/>
    <w:tmpl w:val="59184F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7"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5"/>
  </w:num>
  <w:num w:numId="4">
    <w:abstractNumId w:val="28"/>
  </w:num>
  <w:num w:numId="5">
    <w:abstractNumId w:val="12"/>
  </w:num>
  <w:num w:numId="6">
    <w:abstractNumId w:val="31"/>
  </w:num>
  <w:num w:numId="7">
    <w:abstractNumId w:val="35"/>
  </w:num>
  <w:num w:numId="8">
    <w:abstractNumId w:val="22"/>
  </w:num>
  <w:num w:numId="9">
    <w:abstractNumId w:val="21"/>
  </w:num>
  <w:num w:numId="10">
    <w:abstractNumId w:val="8"/>
  </w:num>
  <w:num w:numId="11">
    <w:abstractNumId w:val="5"/>
  </w:num>
  <w:num w:numId="12">
    <w:abstractNumId w:val="19"/>
  </w:num>
  <w:num w:numId="13">
    <w:abstractNumId w:val="33"/>
  </w:num>
  <w:num w:numId="14">
    <w:abstractNumId w:val="20"/>
  </w:num>
  <w:num w:numId="15">
    <w:abstractNumId w:val="27"/>
  </w:num>
  <w:num w:numId="16">
    <w:abstractNumId w:val="9"/>
  </w:num>
  <w:num w:numId="17">
    <w:abstractNumId w:val="29"/>
  </w:num>
  <w:num w:numId="18">
    <w:abstractNumId w:val="16"/>
  </w:num>
  <w:num w:numId="19">
    <w:abstractNumId w:val="0"/>
  </w:num>
  <w:num w:numId="20">
    <w:abstractNumId w:val="26"/>
  </w:num>
  <w:num w:numId="21">
    <w:abstractNumId w:val="30"/>
  </w:num>
  <w:num w:numId="22">
    <w:abstractNumId w:val="18"/>
  </w:num>
  <w:num w:numId="23">
    <w:abstractNumId w:val="34"/>
  </w:num>
  <w:num w:numId="24">
    <w:abstractNumId w:val="2"/>
  </w:num>
  <w:num w:numId="25">
    <w:abstractNumId w:val="24"/>
  </w:num>
  <w:num w:numId="26">
    <w:abstractNumId w:val="10"/>
  </w:num>
  <w:num w:numId="27">
    <w:abstractNumId w:val="3"/>
  </w:num>
  <w:num w:numId="28">
    <w:abstractNumId w:val="13"/>
  </w:num>
  <w:num w:numId="29">
    <w:abstractNumId w:val="17"/>
  </w:num>
  <w:num w:numId="30">
    <w:abstractNumId w:val="7"/>
  </w:num>
  <w:num w:numId="31">
    <w:abstractNumId w:val="32"/>
  </w:num>
  <w:num w:numId="32">
    <w:abstractNumId w:val="6"/>
  </w:num>
  <w:num w:numId="33">
    <w:abstractNumId w:val="25"/>
  </w:num>
  <w:num w:numId="34">
    <w:abstractNumId w:val="23"/>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360B2"/>
    <w:rsid w:val="00041796"/>
    <w:rsid w:val="000448EF"/>
    <w:rsid w:val="0004492A"/>
    <w:rsid w:val="00044BAE"/>
    <w:rsid w:val="00050C4C"/>
    <w:rsid w:val="00055115"/>
    <w:rsid w:val="0005761C"/>
    <w:rsid w:val="000640E3"/>
    <w:rsid w:val="0006461B"/>
    <w:rsid w:val="00074CD1"/>
    <w:rsid w:val="00076D97"/>
    <w:rsid w:val="00080BCC"/>
    <w:rsid w:val="00080D0A"/>
    <w:rsid w:val="00081B22"/>
    <w:rsid w:val="0008323E"/>
    <w:rsid w:val="00084752"/>
    <w:rsid w:val="00085557"/>
    <w:rsid w:val="00087A88"/>
    <w:rsid w:val="0009704B"/>
    <w:rsid w:val="000A1E22"/>
    <w:rsid w:val="000A2B78"/>
    <w:rsid w:val="000A5040"/>
    <w:rsid w:val="000A5569"/>
    <w:rsid w:val="000A6201"/>
    <w:rsid w:val="000B5A43"/>
    <w:rsid w:val="000B775F"/>
    <w:rsid w:val="000B7AAC"/>
    <w:rsid w:val="000B7D51"/>
    <w:rsid w:val="000C1BED"/>
    <w:rsid w:val="000C429D"/>
    <w:rsid w:val="000C741E"/>
    <w:rsid w:val="000D14FD"/>
    <w:rsid w:val="000D1946"/>
    <w:rsid w:val="000D1DAE"/>
    <w:rsid w:val="000E15D4"/>
    <w:rsid w:val="000E4625"/>
    <w:rsid w:val="000E518F"/>
    <w:rsid w:val="000E696D"/>
    <w:rsid w:val="000F2A08"/>
    <w:rsid w:val="000F50BE"/>
    <w:rsid w:val="000F6337"/>
    <w:rsid w:val="00100C33"/>
    <w:rsid w:val="00101C08"/>
    <w:rsid w:val="00103D8B"/>
    <w:rsid w:val="00103E6A"/>
    <w:rsid w:val="00104D7C"/>
    <w:rsid w:val="00105255"/>
    <w:rsid w:val="00105BF1"/>
    <w:rsid w:val="00105F2A"/>
    <w:rsid w:val="00111B62"/>
    <w:rsid w:val="00113814"/>
    <w:rsid w:val="001154E7"/>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3F40"/>
    <w:rsid w:val="001451E6"/>
    <w:rsid w:val="00146E11"/>
    <w:rsid w:val="00150718"/>
    <w:rsid w:val="0015305D"/>
    <w:rsid w:val="00161C88"/>
    <w:rsid w:val="001702FF"/>
    <w:rsid w:val="00171D18"/>
    <w:rsid w:val="001727B3"/>
    <w:rsid w:val="00176DAD"/>
    <w:rsid w:val="00176E73"/>
    <w:rsid w:val="00176FB6"/>
    <w:rsid w:val="00194CAB"/>
    <w:rsid w:val="00197386"/>
    <w:rsid w:val="001A0920"/>
    <w:rsid w:val="001A5E25"/>
    <w:rsid w:val="001A61E8"/>
    <w:rsid w:val="001A74E8"/>
    <w:rsid w:val="001A7AB9"/>
    <w:rsid w:val="001B2DAA"/>
    <w:rsid w:val="001B4930"/>
    <w:rsid w:val="001D0A95"/>
    <w:rsid w:val="001E2F10"/>
    <w:rsid w:val="001E3C2F"/>
    <w:rsid w:val="001E6223"/>
    <w:rsid w:val="001F0635"/>
    <w:rsid w:val="001F4079"/>
    <w:rsid w:val="001F4FDB"/>
    <w:rsid w:val="001F587A"/>
    <w:rsid w:val="001F5B51"/>
    <w:rsid w:val="001F68FF"/>
    <w:rsid w:val="001F7125"/>
    <w:rsid w:val="001F73B2"/>
    <w:rsid w:val="0020152C"/>
    <w:rsid w:val="002029EA"/>
    <w:rsid w:val="002044A2"/>
    <w:rsid w:val="00206624"/>
    <w:rsid w:val="00210002"/>
    <w:rsid w:val="002115CE"/>
    <w:rsid w:val="00211F21"/>
    <w:rsid w:val="00212699"/>
    <w:rsid w:val="00212FA1"/>
    <w:rsid w:val="00214DBA"/>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3309"/>
    <w:rsid w:val="0026525D"/>
    <w:rsid w:val="00267FCA"/>
    <w:rsid w:val="00273B25"/>
    <w:rsid w:val="0027586D"/>
    <w:rsid w:val="00275DB5"/>
    <w:rsid w:val="00276F24"/>
    <w:rsid w:val="002809EF"/>
    <w:rsid w:val="002863C6"/>
    <w:rsid w:val="00290DFF"/>
    <w:rsid w:val="002913D2"/>
    <w:rsid w:val="002929A3"/>
    <w:rsid w:val="002941ED"/>
    <w:rsid w:val="00294E4E"/>
    <w:rsid w:val="00296368"/>
    <w:rsid w:val="002A31B6"/>
    <w:rsid w:val="002B0597"/>
    <w:rsid w:val="002B1143"/>
    <w:rsid w:val="002B13ED"/>
    <w:rsid w:val="002B1B3E"/>
    <w:rsid w:val="002B780A"/>
    <w:rsid w:val="002C3BC4"/>
    <w:rsid w:val="002C61AF"/>
    <w:rsid w:val="002D221C"/>
    <w:rsid w:val="002D37EC"/>
    <w:rsid w:val="002D4A45"/>
    <w:rsid w:val="002D65A6"/>
    <w:rsid w:val="002E18B5"/>
    <w:rsid w:val="002E6D5A"/>
    <w:rsid w:val="002E7192"/>
    <w:rsid w:val="002F0BE9"/>
    <w:rsid w:val="002F38B8"/>
    <w:rsid w:val="002F6F77"/>
    <w:rsid w:val="00300742"/>
    <w:rsid w:val="00300AA1"/>
    <w:rsid w:val="00304B2E"/>
    <w:rsid w:val="003056C2"/>
    <w:rsid w:val="00307015"/>
    <w:rsid w:val="00310DF3"/>
    <w:rsid w:val="00311557"/>
    <w:rsid w:val="003137F6"/>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06A1"/>
    <w:rsid w:val="003710A3"/>
    <w:rsid w:val="003712B0"/>
    <w:rsid w:val="00373154"/>
    <w:rsid w:val="00373E2F"/>
    <w:rsid w:val="00373F76"/>
    <w:rsid w:val="00374343"/>
    <w:rsid w:val="00376312"/>
    <w:rsid w:val="00381B88"/>
    <w:rsid w:val="00383987"/>
    <w:rsid w:val="00390C96"/>
    <w:rsid w:val="00393216"/>
    <w:rsid w:val="00397857"/>
    <w:rsid w:val="00397DF9"/>
    <w:rsid w:val="003A4B38"/>
    <w:rsid w:val="003A4C25"/>
    <w:rsid w:val="003A59F0"/>
    <w:rsid w:val="003A5C37"/>
    <w:rsid w:val="003A6E7F"/>
    <w:rsid w:val="003B366E"/>
    <w:rsid w:val="003C3969"/>
    <w:rsid w:val="003C49D7"/>
    <w:rsid w:val="003C59E9"/>
    <w:rsid w:val="003D01F9"/>
    <w:rsid w:val="003D27B5"/>
    <w:rsid w:val="003D2D3D"/>
    <w:rsid w:val="003D3FB6"/>
    <w:rsid w:val="003D459E"/>
    <w:rsid w:val="003D6D1B"/>
    <w:rsid w:val="003E041C"/>
    <w:rsid w:val="003E1015"/>
    <w:rsid w:val="003E1F47"/>
    <w:rsid w:val="003E26B6"/>
    <w:rsid w:val="003E299B"/>
    <w:rsid w:val="003E2AA9"/>
    <w:rsid w:val="003E2CC7"/>
    <w:rsid w:val="003E6C34"/>
    <w:rsid w:val="003E7018"/>
    <w:rsid w:val="003E776A"/>
    <w:rsid w:val="003F1ADC"/>
    <w:rsid w:val="003F28E5"/>
    <w:rsid w:val="004120EC"/>
    <w:rsid w:val="00415284"/>
    <w:rsid w:val="004155B3"/>
    <w:rsid w:val="00415D7A"/>
    <w:rsid w:val="004204E7"/>
    <w:rsid w:val="00420F16"/>
    <w:rsid w:val="00422F4B"/>
    <w:rsid w:val="00427490"/>
    <w:rsid w:val="00427C31"/>
    <w:rsid w:val="00430C7C"/>
    <w:rsid w:val="00431598"/>
    <w:rsid w:val="004317BA"/>
    <w:rsid w:val="00432D0A"/>
    <w:rsid w:val="004338E5"/>
    <w:rsid w:val="00435B2F"/>
    <w:rsid w:val="00436187"/>
    <w:rsid w:val="00440C71"/>
    <w:rsid w:val="00441748"/>
    <w:rsid w:val="0044278C"/>
    <w:rsid w:val="0044354C"/>
    <w:rsid w:val="00443F93"/>
    <w:rsid w:val="00447E65"/>
    <w:rsid w:val="004512B9"/>
    <w:rsid w:val="00451813"/>
    <w:rsid w:val="00454B1B"/>
    <w:rsid w:val="00455C71"/>
    <w:rsid w:val="00456B96"/>
    <w:rsid w:val="00456D93"/>
    <w:rsid w:val="0046086B"/>
    <w:rsid w:val="00461388"/>
    <w:rsid w:val="004630C2"/>
    <w:rsid w:val="004678DD"/>
    <w:rsid w:val="00470E65"/>
    <w:rsid w:val="00471678"/>
    <w:rsid w:val="0047212D"/>
    <w:rsid w:val="00477059"/>
    <w:rsid w:val="00477EFF"/>
    <w:rsid w:val="004827D4"/>
    <w:rsid w:val="00487966"/>
    <w:rsid w:val="00492455"/>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E94"/>
    <w:rsid w:val="004E152E"/>
    <w:rsid w:val="004E470A"/>
    <w:rsid w:val="004F268F"/>
    <w:rsid w:val="004F5513"/>
    <w:rsid w:val="00507661"/>
    <w:rsid w:val="0051057D"/>
    <w:rsid w:val="005107E5"/>
    <w:rsid w:val="00511F8C"/>
    <w:rsid w:val="00513910"/>
    <w:rsid w:val="005204B6"/>
    <w:rsid w:val="00520B32"/>
    <w:rsid w:val="00525946"/>
    <w:rsid w:val="00530DA1"/>
    <w:rsid w:val="005325C5"/>
    <w:rsid w:val="00535C35"/>
    <w:rsid w:val="005360D3"/>
    <w:rsid w:val="00537D09"/>
    <w:rsid w:val="00541E0A"/>
    <w:rsid w:val="005460B7"/>
    <w:rsid w:val="005465AD"/>
    <w:rsid w:val="00552F45"/>
    <w:rsid w:val="00556768"/>
    <w:rsid w:val="00556F18"/>
    <w:rsid w:val="005578B5"/>
    <w:rsid w:val="0056350C"/>
    <w:rsid w:val="005662BB"/>
    <w:rsid w:val="00570046"/>
    <w:rsid w:val="005715D1"/>
    <w:rsid w:val="00571EBE"/>
    <w:rsid w:val="00572468"/>
    <w:rsid w:val="005766DB"/>
    <w:rsid w:val="00581A46"/>
    <w:rsid w:val="00582820"/>
    <w:rsid w:val="00583431"/>
    <w:rsid w:val="00586315"/>
    <w:rsid w:val="00593897"/>
    <w:rsid w:val="00595280"/>
    <w:rsid w:val="00596710"/>
    <w:rsid w:val="005A2A33"/>
    <w:rsid w:val="005A6F40"/>
    <w:rsid w:val="005B14DD"/>
    <w:rsid w:val="005B2DA6"/>
    <w:rsid w:val="005B522C"/>
    <w:rsid w:val="005C01C5"/>
    <w:rsid w:val="005C4DAC"/>
    <w:rsid w:val="005D2C59"/>
    <w:rsid w:val="005D7366"/>
    <w:rsid w:val="005F1D80"/>
    <w:rsid w:val="005F5CE4"/>
    <w:rsid w:val="005F7D0B"/>
    <w:rsid w:val="00602BB9"/>
    <w:rsid w:val="00602D97"/>
    <w:rsid w:val="00606646"/>
    <w:rsid w:val="0061164E"/>
    <w:rsid w:val="00621B3C"/>
    <w:rsid w:val="0062270D"/>
    <w:rsid w:val="006335B3"/>
    <w:rsid w:val="006443A2"/>
    <w:rsid w:val="006462CE"/>
    <w:rsid w:val="0064764F"/>
    <w:rsid w:val="006500B1"/>
    <w:rsid w:val="0065494C"/>
    <w:rsid w:val="00655B02"/>
    <w:rsid w:val="00660A37"/>
    <w:rsid w:val="00661D93"/>
    <w:rsid w:val="00664503"/>
    <w:rsid w:val="0066494D"/>
    <w:rsid w:val="006675B1"/>
    <w:rsid w:val="00673B1A"/>
    <w:rsid w:val="00675E85"/>
    <w:rsid w:val="00680364"/>
    <w:rsid w:val="0068109A"/>
    <w:rsid w:val="00684EF9"/>
    <w:rsid w:val="00690976"/>
    <w:rsid w:val="00694C35"/>
    <w:rsid w:val="00697A6E"/>
    <w:rsid w:val="006A056D"/>
    <w:rsid w:val="006A30B0"/>
    <w:rsid w:val="006B165F"/>
    <w:rsid w:val="006B1741"/>
    <w:rsid w:val="006B19B6"/>
    <w:rsid w:val="006B5B7B"/>
    <w:rsid w:val="006B68D3"/>
    <w:rsid w:val="006C110F"/>
    <w:rsid w:val="006C46F2"/>
    <w:rsid w:val="006C4A24"/>
    <w:rsid w:val="006C6040"/>
    <w:rsid w:val="006C6CBA"/>
    <w:rsid w:val="006D2139"/>
    <w:rsid w:val="006D537B"/>
    <w:rsid w:val="006D7F48"/>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380"/>
    <w:rsid w:val="00732A0D"/>
    <w:rsid w:val="007372BF"/>
    <w:rsid w:val="00744B31"/>
    <w:rsid w:val="00752D26"/>
    <w:rsid w:val="00757A9B"/>
    <w:rsid w:val="00764027"/>
    <w:rsid w:val="00771302"/>
    <w:rsid w:val="00776524"/>
    <w:rsid w:val="007873DF"/>
    <w:rsid w:val="007967E9"/>
    <w:rsid w:val="0079714A"/>
    <w:rsid w:val="0079716A"/>
    <w:rsid w:val="007A1628"/>
    <w:rsid w:val="007B0A0F"/>
    <w:rsid w:val="007B0AB3"/>
    <w:rsid w:val="007B1154"/>
    <w:rsid w:val="007B489D"/>
    <w:rsid w:val="007B63DF"/>
    <w:rsid w:val="007B70C7"/>
    <w:rsid w:val="007C07D3"/>
    <w:rsid w:val="007C29E7"/>
    <w:rsid w:val="007C32A5"/>
    <w:rsid w:val="007C4B33"/>
    <w:rsid w:val="007D173B"/>
    <w:rsid w:val="007D3545"/>
    <w:rsid w:val="007D3713"/>
    <w:rsid w:val="007D6AB2"/>
    <w:rsid w:val="007E2B14"/>
    <w:rsid w:val="007E47EF"/>
    <w:rsid w:val="007E6851"/>
    <w:rsid w:val="007F09DB"/>
    <w:rsid w:val="007F0FE7"/>
    <w:rsid w:val="007F3B21"/>
    <w:rsid w:val="007F3B5E"/>
    <w:rsid w:val="007F3C01"/>
    <w:rsid w:val="007F5682"/>
    <w:rsid w:val="007F585B"/>
    <w:rsid w:val="00801E7D"/>
    <w:rsid w:val="00802636"/>
    <w:rsid w:val="0080467F"/>
    <w:rsid w:val="0080722F"/>
    <w:rsid w:val="0081057C"/>
    <w:rsid w:val="00813E00"/>
    <w:rsid w:val="00822373"/>
    <w:rsid w:val="00822454"/>
    <w:rsid w:val="00831E4B"/>
    <w:rsid w:val="00832AEB"/>
    <w:rsid w:val="00832CEA"/>
    <w:rsid w:val="008331B6"/>
    <w:rsid w:val="008340E4"/>
    <w:rsid w:val="0084035C"/>
    <w:rsid w:val="00841AE8"/>
    <w:rsid w:val="00851F1F"/>
    <w:rsid w:val="00852E3F"/>
    <w:rsid w:val="00863A56"/>
    <w:rsid w:val="00865D80"/>
    <w:rsid w:val="00866B75"/>
    <w:rsid w:val="008718B5"/>
    <w:rsid w:val="00875546"/>
    <w:rsid w:val="00875A89"/>
    <w:rsid w:val="00875B8F"/>
    <w:rsid w:val="00881E81"/>
    <w:rsid w:val="00882344"/>
    <w:rsid w:val="00883099"/>
    <w:rsid w:val="0088730A"/>
    <w:rsid w:val="008877F3"/>
    <w:rsid w:val="00890229"/>
    <w:rsid w:val="00891482"/>
    <w:rsid w:val="00893154"/>
    <w:rsid w:val="008A2925"/>
    <w:rsid w:val="008A353E"/>
    <w:rsid w:val="008A7792"/>
    <w:rsid w:val="008B530A"/>
    <w:rsid w:val="008B5C4E"/>
    <w:rsid w:val="008B794A"/>
    <w:rsid w:val="008C356B"/>
    <w:rsid w:val="008C41DA"/>
    <w:rsid w:val="008C618C"/>
    <w:rsid w:val="008D55F9"/>
    <w:rsid w:val="008D5A6E"/>
    <w:rsid w:val="008D6958"/>
    <w:rsid w:val="008D7CF2"/>
    <w:rsid w:val="008E3142"/>
    <w:rsid w:val="008E4F39"/>
    <w:rsid w:val="008E63E9"/>
    <w:rsid w:val="008E7B8C"/>
    <w:rsid w:val="008F0AF4"/>
    <w:rsid w:val="008F276A"/>
    <w:rsid w:val="008F565A"/>
    <w:rsid w:val="00900805"/>
    <w:rsid w:val="009021CD"/>
    <w:rsid w:val="00903085"/>
    <w:rsid w:val="0090363A"/>
    <w:rsid w:val="0090536D"/>
    <w:rsid w:val="00905BEF"/>
    <w:rsid w:val="00912FC4"/>
    <w:rsid w:val="00915017"/>
    <w:rsid w:val="00915CA9"/>
    <w:rsid w:val="00916376"/>
    <w:rsid w:val="00921868"/>
    <w:rsid w:val="00923114"/>
    <w:rsid w:val="00923AAB"/>
    <w:rsid w:val="00926EC1"/>
    <w:rsid w:val="00933543"/>
    <w:rsid w:val="00934618"/>
    <w:rsid w:val="00935EBF"/>
    <w:rsid w:val="00937566"/>
    <w:rsid w:val="00942745"/>
    <w:rsid w:val="009455A9"/>
    <w:rsid w:val="009549B8"/>
    <w:rsid w:val="00957FD4"/>
    <w:rsid w:val="009607B9"/>
    <w:rsid w:val="00960E16"/>
    <w:rsid w:val="00962278"/>
    <w:rsid w:val="00963BBF"/>
    <w:rsid w:val="009730CE"/>
    <w:rsid w:val="009749EB"/>
    <w:rsid w:val="0097503F"/>
    <w:rsid w:val="0097656A"/>
    <w:rsid w:val="00976881"/>
    <w:rsid w:val="00987595"/>
    <w:rsid w:val="00992A7A"/>
    <w:rsid w:val="009930B1"/>
    <w:rsid w:val="00994458"/>
    <w:rsid w:val="00996C8A"/>
    <w:rsid w:val="009A316F"/>
    <w:rsid w:val="009A38A7"/>
    <w:rsid w:val="009A5DA5"/>
    <w:rsid w:val="009A5DE2"/>
    <w:rsid w:val="009B1B6D"/>
    <w:rsid w:val="009B1BC7"/>
    <w:rsid w:val="009B6B0E"/>
    <w:rsid w:val="009C15CD"/>
    <w:rsid w:val="009C7E5A"/>
    <w:rsid w:val="009D00A1"/>
    <w:rsid w:val="009D371E"/>
    <w:rsid w:val="009D3916"/>
    <w:rsid w:val="009D5347"/>
    <w:rsid w:val="009D61B6"/>
    <w:rsid w:val="009F18DC"/>
    <w:rsid w:val="009F22C9"/>
    <w:rsid w:val="009F42B3"/>
    <w:rsid w:val="009F50AF"/>
    <w:rsid w:val="009F59D2"/>
    <w:rsid w:val="009F5CC1"/>
    <w:rsid w:val="00A06423"/>
    <w:rsid w:val="00A06893"/>
    <w:rsid w:val="00A14839"/>
    <w:rsid w:val="00A15B05"/>
    <w:rsid w:val="00A22A58"/>
    <w:rsid w:val="00A2476F"/>
    <w:rsid w:val="00A31763"/>
    <w:rsid w:val="00A325C4"/>
    <w:rsid w:val="00A325D7"/>
    <w:rsid w:val="00A33726"/>
    <w:rsid w:val="00A37F66"/>
    <w:rsid w:val="00A47924"/>
    <w:rsid w:val="00A514B9"/>
    <w:rsid w:val="00A53B25"/>
    <w:rsid w:val="00A55BB3"/>
    <w:rsid w:val="00A55C02"/>
    <w:rsid w:val="00A55E70"/>
    <w:rsid w:val="00A56A38"/>
    <w:rsid w:val="00A601F0"/>
    <w:rsid w:val="00A63C1C"/>
    <w:rsid w:val="00A82A77"/>
    <w:rsid w:val="00A830B6"/>
    <w:rsid w:val="00A8393C"/>
    <w:rsid w:val="00A83B5D"/>
    <w:rsid w:val="00A840F7"/>
    <w:rsid w:val="00A85F5E"/>
    <w:rsid w:val="00A930A9"/>
    <w:rsid w:val="00A96BAA"/>
    <w:rsid w:val="00AA2262"/>
    <w:rsid w:val="00AA2F05"/>
    <w:rsid w:val="00AA3099"/>
    <w:rsid w:val="00AA377B"/>
    <w:rsid w:val="00AB132A"/>
    <w:rsid w:val="00AB17DE"/>
    <w:rsid w:val="00AC0044"/>
    <w:rsid w:val="00AC09A5"/>
    <w:rsid w:val="00AC7961"/>
    <w:rsid w:val="00AD3B1F"/>
    <w:rsid w:val="00AD3C9E"/>
    <w:rsid w:val="00AD4BA4"/>
    <w:rsid w:val="00AD6B31"/>
    <w:rsid w:val="00AE0138"/>
    <w:rsid w:val="00AE1709"/>
    <w:rsid w:val="00AE190B"/>
    <w:rsid w:val="00AE1EDA"/>
    <w:rsid w:val="00AE4A7B"/>
    <w:rsid w:val="00AF4164"/>
    <w:rsid w:val="00B0324D"/>
    <w:rsid w:val="00B03C16"/>
    <w:rsid w:val="00B12C74"/>
    <w:rsid w:val="00B14FF0"/>
    <w:rsid w:val="00B153C0"/>
    <w:rsid w:val="00B22441"/>
    <w:rsid w:val="00B23725"/>
    <w:rsid w:val="00B24C0B"/>
    <w:rsid w:val="00B26DAE"/>
    <w:rsid w:val="00B26FEE"/>
    <w:rsid w:val="00B461D6"/>
    <w:rsid w:val="00B47CAF"/>
    <w:rsid w:val="00B52162"/>
    <w:rsid w:val="00B537EC"/>
    <w:rsid w:val="00B53FAA"/>
    <w:rsid w:val="00B555A0"/>
    <w:rsid w:val="00B56035"/>
    <w:rsid w:val="00B566F3"/>
    <w:rsid w:val="00B56726"/>
    <w:rsid w:val="00B64551"/>
    <w:rsid w:val="00B74394"/>
    <w:rsid w:val="00B76F29"/>
    <w:rsid w:val="00B77B4B"/>
    <w:rsid w:val="00B8144A"/>
    <w:rsid w:val="00B8700D"/>
    <w:rsid w:val="00B87AF1"/>
    <w:rsid w:val="00B914C9"/>
    <w:rsid w:val="00B919DA"/>
    <w:rsid w:val="00B92C3A"/>
    <w:rsid w:val="00B93051"/>
    <w:rsid w:val="00BA679A"/>
    <w:rsid w:val="00BA6AB7"/>
    <w:rsid w:val="00BB2A8A"/>
    <w:rsid w:val="00BB42ED"/>
    <w:rsid w:val="00BB58FA"/>
    <w:rsid w:val="00BC39BD"/>
    <w:rsid w:val="00BC7077"/>
    <w:rsid w:val="00BD0CC0"/>
    <w:rsid w:val="00BD1645"/>
    <w:rsid w:val="00BD4C82"/>
    <w:rsid w:val="00BD6ACF"/>
    <w:rsid w:val="00BE385D"/>
    <w:rsid w:val="00BE6A6B"/>
    <w:rsid w:val="00BF15E4"/>
    <w:rsid w:val="00BF4295"/>
    <w:rsid w:val="00BF6592"/>
    <w:rsid w:val="00BF6744"/>
    <w:rsid w:val="00C03B2F"/>
    <w:rsid w:val="00C03B3D"/>
    <w:rsid w:val="00C047CD"/>
    <w:rsid w:val="00C055B6"/>
    <w:rsid w:val="00C062D2"/>
    <w:rsid w:val="00C0654C"/>
    <w:rsid w:val="00C109B8"/>
    <w:rsid w:val="00C11809"/>
    <w:rsid w:val="00C124CF"/>
    <w:rsid w:val="00C12814"/>
    <w:rsid w:val="00C1389F"/>
    <w:rsid w:val="00C13A43"/>
    <w:rsid w:val="00C14CA8"/>
    <w:rsid w:val="00C15184"/>
    <w:rsid w:val="00C32E52"/>
    <w:rsid w:val="00C34B6F"/>
    <w:rsid w:val="00C35DAF"/>
    <w:rsid w:val="00C53667"/>
    <w:rsid w:val="00C538CE"/>
    <w:rsid w:val="00C63F35"/>
    <w:rsid w:val="00C74003"/>
    <w:rsid w:val="00C75418"/>
    <w:rsid w:val="00C8200C"/>
    <w:rsid w:val="00C82492"/>
    <w:rsid w:val="00C85DD6"/>
    <w:rsid w:val="00C93224"/>
    <w:rsid w:val="00C93E68"/>
    <w:rsid w:val="00C9412E"/>
    <w:rsid w:val="00C95974"/>
    <w:rsid w:val="00CA5141"/>
    <w:rsid w:val="00CB0942"/>
    <w:rsid w:val="00CB21D4"/>
    <w:rsid w:val="00CB5047"/>
    <w:rsid w:val="00CC2376"/>
    <w:rsid w:val="00CC31BF"/>
    <w:rsid w:val="00CC49B9"/>
    <w:rsid w:val="00CC60BF"/>
    <w:rsid w:val="00CD1DFD"/>
    <w:rsid w:val="00CD247D"/>
    <w:rsid w:val="00CD2962"/>
    <w:rsid w:val="00CD4311"/>
    <w:rsid w:val="00CE0561"/>
    <w:rsid w:val="00CE15A2"/>
    <w:rsid w:val="00CE188D"/>
    <w:rsid w:val="00CE3AC5"/>
    <w:rsid w:val="00CE422E"/>
    <w:rsid w:val="00CE4C0B"/>
    <w:rsid w:val="00CE6324"/>
    <w:rsid w:val="00CF1F07"/>
    <w:rsid w:val="00CF218B"/>
    <w:rsid w:val="00CF43FA"/>
    <w:rsid w:val="00CF6BFB"/>
    <w:rsid w:val="00D00753"/>
    <w:rsid w:val="00D00ECC"/>
    <w:rsid w:val="00D025F2"/>
    <w:rsid w:val="00D06475"/>
    <w:rsid w:val="00D0665B"/>
    <w:rsid w:val="00D119D9"/>
    <w:rsid w:val="00D16D6D"/>
    <w:rsid w:val="00D21A6A"/>
    <w:rsid w:val="00D22E2A"/>
    <w:rsid w:val="00D22EE0"/>
    <w:rsid w:val="00D257DE"/>
    <w:rsid w:val="00D32236"/>
    <w:rsid w:val="00D33286"/>
    <w:rsid w:val="00D352FD"/>
    <w:rsid w:val="00D365FE"/>
    <w:rsid w:val="00D47F21"/>
    <w:rsid w:val="00D5770C"/>
    <w:rsid w:val="00D61042"/>
    <w:rsid w:val="00D61137"/>
    <w:rsid w:val="00D67FB4"/>
    <w:rsid w:val="00D70C54"/>
    <w:rsid w:val="00D710D1"/>
    <w:rsid w:val="00D71F11"/>
    <w:rsid w:val="00D720D9"/>
    <w:rsid w:val="00D7333D"/>
    <w:rsid w:val="00D7416A"/>
    <w:rsid w:val="00D749A5"/>
    <w:rsid w:val="00D76A2D"/>
    <w:rsid w:val="00D84CEF"/>
    <w:rsid w:val="00D850D9"/>
    <w:rsid w:val="00D8557B"/>
    <w:rsid w:val="00D86C98"/>
    <w:rsid w:val="00D96411"/>
    <w:rsid w:val="00DA2393"/>
    <w:rsid w:val="00DA6BA6"/>
    <w:rsid w:val="00DA7EEB"/>
    <w:rsid w:val="00DB172E"/>
    <w:rsid w:val="00DB1E0A"/>
    <w:rsid w:val="00DB35A6"/>
    <w:rsid w:val="00DB3EE1"/>
    <w:rsid w:val="00DB481E"/>
    <w:rsid w:val="00DB5744"/>
    <w:rsid w:val="00DB5C7C"/>
    <w:rsid w:val="00DC3F47"/>
    <w:rsid w:val="00DC4F66"/>
    <w:rsid w:val="00DC6B85"/>
    <w:rsid w:val="00DD073E"/>
    <w:rsid w:val="00DD0E56"/>
    <w:rsid w:val="00DD4749"/>
    <w:rsid w:val="00DE39E4"/>
    <w:rsid w:val="00DE4837"/>
    <w:rsid w:val="00DE7B1E"/>
    <w:rsid w:val="00DF6ED2"/>
    <w:rsid w:val="00E00EC1"/>
    <w:rsid w:val="00E02603"/>
    <w:rsid w:val="00E03B36"/>
    <w:rsid w:val="00E06DFE"/>
    <w:rsid w:val="00E12E08"/>
    <w:rsid w:val="00E13566"/>
    <w:rsid w:val="00E14DFD"/>
    <w:rsid w:val="00E16174"/>
    <w:rsid w:val="00E17DC0"/>
    <w:rsid w:val="00E20220"/>
    <w:rsid w:val="00E227F0"/>
    <w:rsid w:val="00E24DFE"/>
    <w:rsid w:val="00E25458"/>
    <w:rsid w:val="00E30500"/>
    <w:rsid w:val="00E30D30"/>
    <w:rsid w:val="00E30F03"/>
    <w:rsid w:val="00E30FC8"/>
    <w:rsid w:val="00E31F5D"/>
    <w:rsid w:val="00E32AB4"/>
    <w:rsid w:val="00E336F0"/>
    <w:rsid w:val="00E347EE"/>
    <w:rsid w:val="00E37D5F"/>
    <w:rsid w:val="00E402BD"/>
    <w:rsid w:val="00E47E7C"/>
    <w:rsid w:val="00E531F5"/>
    <w:rsid w:val="00E63BFC"/>
    <w:rsid w:val="00E67048"/>
    <w:rsid w:val="00E67FA5"/>
    <w:rsid w:val="00E74959"/>
    <w:rsid w:val="00E765CF"/>
    <w:rsid w:val="00E803AD"/>
    <w:rsid w:val="00E826A1"/>
    <w:rsid w:val="00E82A9C"/>
    <w:rsid w:val="00E8331B"/>
    <w:rsid w:val="00E84214"/>
    <w:rsid w:val="00E847F2"/>
    <w:rsid w:val="00E84EEA"/>
    <w:rsid w:val="00E94D27"/>
    <w:rsid w:val="00EA539D"/>
    <w:rsid w:val="00EB1720"/>
    <w:rsid w:val="00EB3C9F"/>
    <w:rsid w:val="00EB4D5A"/>
    <w:rsid w:val="00EB6A5F"/>
    <w:rsid w:val="00EB725F"/>
    <w:rsid w:val="00EB7903"/>
    <w:rsid w:val="00EC122D"/>
    <w:rsid w:val="00EC1F74"/>
    <w:rsid w:val="00EC2438"/>
    <w:rsid w:val="00EC7844"/>
    <w:rsid w:val="00ED246A"/>
    <w:rsid w:val="00ED2847"/>
    <w:rsid w:val="00ED5F89"/>
    <w:rsid w:val="00ED7B02"/>
    <w:rsid w:val="00EE1377"/>
    <w:rsid w:val="00EE3868"/>
    <w:rsid w:val="00EE4F65"/>
    <w:rsid w:val="00EF22FD"/>
    <w:rsid w:val="00EF3C25"/>
    <w:rsid w:val="00EF520E"/>
    <w:rsid w:val="00EF6CB3"/>
    <w:rsid w:val="00F03A6B"/>
    <w:rsid w:val="00F05F9C"/>
    <w:rsid w:val="00F0640E"/>
    <w:rsid w:val="00F065C5"/>
    <w:rsid w:val="00F06A11"/>
    <w:rsid w:val="00F173ED"/>
    <w:rsid w:val="00F20053"/>
    <w:rsid w:val="00F20B5F"/>
    <w:rsid w:val="00F20E61"/>
    <w:rsid w:val="00F259D5"/>
    <w:rsid w:val="00F32993"/>
    <w:rsid w:val="00F32D2B"/>
    <w:rsid w:val="00F37152"/>
    <w:rsid w:val="00F400AF"/>
    <w:rsid w:val="00F402E8"/>
    <w:rsid w:val="00F479A6"/>
    <w:rsid w:val="00F50490"/>
    <w:rsid w:val="00F51680"/>
    <w:rsid w:val="00F51A52"/>
    <w:rsid w:val="00F55F93"/>
    <w:rsid w:val="00F64A57"/>
    <w:rsid w:val="00F70A36"/>
    <w:rsid w:val="00F80D24"/>
    <w:rsid w:val="00F81087"/>
    <w:rsid w:val="00F84904"/>
    <w:rsid w:val="00F84D16"/>
    <w:rsid w:val="00F85FB4"/>
    <w:rsid w:val="00F86EAA"/>
    <w:rsid w:val="00F9148C"/>
    <w:rsid w:val="00F91874"/>
    <w:rsid w:val="00F92A0F"/>
    <w:rsid w:val="00F9384D"/>
    <w:rsid w:val="00FA2CE7"/>
    <w:rsid w:val="00FA7F16"/>
    <w:rsid w:val="00FB0299"/>
    <w:rsid w:val="00FB0A48"/>
    <w:rsid w:val="00FB26FC"/>
    <w:rsid w:val="00FB3A73"/>
    <w:rsid w:val="00FB3FEE"/>
    <w:rsid w:val="00FC6502"/>
    <w:rsid w:val="00FC6558"/>
    <w:rsid w:val="00FC72DC"/>
    <w:rsid w:val="00FD741A"/>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paragraph" w:styleId="Heading1">
    <w:name w:val="heading 1"/>
    <w:basedOn w:val="Normal"/>
    <w:next w:val="Normal"/>
    <w:link w:val="Heading1Char"/>
    <w:qFormat/>
    <w:rsid w:val="004E15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7F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 w:type="character" w:customStyle="1" w:styleId="Heading1Char">
    <w:name w:val="Heading 1 Char"/>
    <w:basedOn w:val="DefaultParagraphFont"/>
    <w:link w:val="Heading1"/>
    <w:rsid w:val="004E15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E152E"/>
    <w:pPr>
      <w:spacing w:line="259" w:lineRule="auto"/>
      <w:outlineLvl w:val="9"/>
    </w:pPr>
  </w:style>
  <w:style w:type="paragraph" w:styleId="TOC2">
    <w:name w:val="toc 2"/>
    <w:basedOn w:val="Normal"/>
    <w:next w:val="Normal"/>
    <w:autoRedefine/>
    <w:uiPriority w:val="39"/>
    <w:unhideWhenUsed/>
    <w:rsid w:val="004E152E"/>
    <w:pPr>
      <w:ind w:left="240"/>
    </w:pPr>
    <w:rPr>
      <w:rFonts w:asciiTheme="minorHAnsi" w:hAnsiTheme="minorHAnsi"/>
      <w:smallCaps/>
      <w:sz w:val="20"/>
      <w:szCs w:val="20"/>
    </w:rPr>
  </w:style>
  <w:style w:type="paragraph" w:styleId="TOC1">
    <w:name w:val="toc 1"/>
    <w:basedOn w:val="Normal"/>
    <w:next w:val="Normal"/>
    <w:autoRedefine/>
    <w:uiPriority w:val="39"/>
    <w:unhideWhenUsed/>
    <w:rsid w:val="004E152E"/>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4E152E"/>
    <w:pPr>
      <w:ind w:left="480"/>
    </w:pPr>
    <w:rPr>
      <w:rFonts w:asciiTheme="minorHAnsi" w:hAnsiTheme="minorHAnsi"/>
      <w:i/>
      <w:iCs/>
      <w:sz w:val="20"/>
      <w:szCs w:val="20"/>
    </w:rPr>
  </w:style>
  <w:style w:type="paragraph" w:styleId="TOC4">
    <w:name w:val="toc 4"/>
    <w:basedOn w:val="Normal"/>
    <w:next w:val="Normal"/>
    <w:autoRedefine/>
    <w:unhideWhenUsed/>
    <w:rsid w:val="00851F1F"/>
    <w:pPr>
      <w:ind w:left="720"/>
    </w:pPr>
    <w:rPr>
      <w:rFonts w:asciiTheme="minorHAnsi" w:hAnsiTheme="minorHAnsi"/>
      <w:sz w:val="18"/>
      <w:szCs w:val="18"/>
    </w:rPr>
  </w:style>
  <w:style w:type="paragraph" w:styleId="TOC5">
    <w:name w:val="toc 5"/>
    <w:basedOn w:val="Normal"/>
    <w:next w:val="Normal"/>
    <w:autoRedefine/>
    <w:unhideWhenUsed/>
    <w:rsid w:val="00851F1F"/>
    <w:pPr>
      <w:ind w:left="960"/>
    </w:pPr>
    <w:rPr>
      <w:rFonts w:asciiTheme="minorHAnsi" w:hAnsiTheme="minorHAnsi"/>
      <w:sz w:val="18"/>
      <w:szCs w:val="18"/>
    </w:rPr>
  </w:style>
  <w:style w:type="paragraph" w:styleId="TOC6">
    <w:name w:val="toc 6"/>
    <w:basedOn w:val="Normal"/>
    <w:next w:val="Normal"/>
    <w:autoRedefine/>
    <w:unhideWhenUsed/>
    <w:rsid w:val="00851F1F"/>
    <w:pPr>
      <w:ind w:left="1200"/>
    </w:pPr>
    <w:rPr>
      <w:rFonts w:asciiTheme="minorHAnsi" w:hAnsiTheme="minorHAnsi"/>
      <w:sz w:val="18"/>
      <w:szCs w:val="18"/>
    </w:rPr>
  </w:style>
  <w:style w:type="paragraph" w:styleId="TOC7">
    <w:name w:val="toc 7"/>
    <w:basedOn w:val="Normal"/>
    <w:next w:val="Normal"/>
    <w:autoRedefine/>
    <w:unhideWhenUsed/>
    <w:rsid w:val="00851F1F"/>
    <w:pPr>
      <w:ind w:left="1440"/>
    </w:pPr>
    <w:rPr>
      <w:rFonts w:asciiTheme="minorHAnsi" w:hAnsiTheme="minorHAnsi"/>
      <w:sz w:val="18"/>
      <w:szCs w:val="18"/>
    </w:rPr>
  </w:style>
  <w:style w:type="paragraph" w:styleId="TOC8">
    <w:name w:val="toc 8"/>
    <w:basedOn w:val="Normal"/>
    <w:next w:val="Normal"/>
    <w:autoRedefine/>
    <w:unhideWhenUsed/>
    <w:rsid w:val="00851F1F"/>
    <w:pPr>
      <w:ind w:left="1680"/>
    </w:pPr>
    <w:rPr>
      <w:rFonts w:asciiTheme="minorHAnsi" w:hAnsiTheme="minorHAnsi"/>
      <w:sz w:val="18"/>
      <w:szCs w:val="18"/>
    </w:rPr>
  </w:style>
  <w:style w:type="paragraph" w:styleId="TOC9">
    <w:name w:val="toc 9"/>
    <w:basedOn w:val="Normal"/>
    <w:next w:val="Normal"/>
    <w:autoRedefine/>
    <w:unhideWhenUsed/>
    <w:rsid w:val="00851F1F"/>
    <w:pPr>
      <w:ind w:left="1920"/>
    </w:pPr>
    <w:rPr>
      <w:rFonts w:asciiTheme="minorHAnsi" w:hAnsiTheme="minorHAnsi"/>
      <w:sz w:val="18"/>
      <w:szCs w:val="18"/>
    </w:rPr>
  </w:style>
  <w:style w:type="character" w:customStyle="1" w:styleId="Heading2Char">
    <w:name w:val="Heading 2 Char"/>
    <w:basedOn w:val="DefaultParagraphFont"/>
    <w:link w:val="Heading2"/>
    <w:semiHidden/>
    <w:rsid w:val="00D47F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5BA6-F5A4-435B-92DF-1B3F7DB8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8749</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4741</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11</cp:revision>
  <cp:lastPrinted>2012-01-11T16:08:00Z</cp:lastPrinted>
  <dcterms:created xsi:type="dcterms:W3CDTF">2016-05-27T18:19:00Z</dcterms:created>
  <dcterms:modified xsi:type="dcterms:W3CDTF">2016-06-27T18:34:00Z</dcterms:modified>
</cp:coreProperties>
</file>